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09"/>
        <w:gridCol w:w="6997"/>
      </w:tblGrid>
      <w:tr w:rsidR="007A1C62" w:rsidTr="00612CF7">
        <w:trPr>
          <w:tblHeader/>
        </w:trPr>
        <w:tc>
          <w:tcPr>
            <w:tcW w:w="10206" w:type="dxa"/>
            <w:gridSpan w:val="2"/>
            <w:hideMark/>
          </w:tcPr>
          <w:p w:rsidR="006F2ACE" w:rsidRPr="002339B8" w:rsidRDefault="00712222" w:rsidP="00B6404F">
            <w:pPr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Arial" w:hAnsi="Arial" w:cs="Arial"/>
                <w:sz w:val="32"/>
                <w:szCs w:val="32"/>
                <w:lang w:val="en-US"/>
              </w:rPr>
            </w:pPr>
            <w:bookmarkStart w:id="0" w:name="_Toc387648653"/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Спецификация</w:t>
            </w:r>
            <w:r w:rsidRPr="00B6404F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 xml:space="preserve">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  XF105 Space Cab        Int SS</w:t>
            </w:r>
            <w:bookmarkEnd w:id="0"/>
          </w:p>
        </w:tc>
      </w:tr>
      <w:tr w:rsidR="007A1C62" w:rsidTr="00612CF7">
        <w:trPr>
          <w:trHeight w:hRule="exact" w:val="20"/>
          <w:tblHeader/>
        </w:trPr>
        <w:tc>
          <w:tcPr>
            <w:tcW w:w="10206" w:type="dxa"/>
            <w:gridSpan w:val="2"/>
            <w:vAlign w:val="center"/>
          </w:tcPr>
          <w:p w:rsidR="00FC19C8" w:rsidRPr="00FC19C8" w:rsidRDefault="00712222" w:rsidP="00A229C7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Внешний вид кабины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Кабина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Space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Cab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механической подвеской, стальным бампером, тонированным стеклом и </w:t>
                  </w:r>
                  <w:proofErr w:type="spell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электростеклоподъемниками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Основные зеркала и широкоугольные зеркала с электрическим подогревом.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Ширина кабины 2490 мм.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Центральный замок. Выключатель замка двери второго водителя на приборной панели.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Включает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пульта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дистанционного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управления и 2 ключа с транспондером.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дымчатого цвет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Зеркало переднего вида должно соответствовать директиве СЕ 2003/97/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основного обзора.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Галогенные фары с двумя отражателями и ударопрочными линзами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Lexan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Фары дальнего света для правостороннего движения.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Комбинированные фары (противотуманные ф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ары и точечные лампы) в </w:t>
                  </w:r>
                  <w:proofErr w:type="gramStart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бампере</w:t>
                  </w:r>
                  <w:proofErr w:type="gramEnd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Три оранжевые лампы в верхней части кабины.</w:t>
                  </w:r>
                </w:p>
              </w:tc>
            </w:tr>
          </w:tbl>
          <w:p w:rsidR="006F2ACE" w:rsidRPr="008C5446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Регулируемый аэродинамический </w:t>
                  </w:r>
                  <w:proofErr w:type="spellStart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спойлер</w:t>
                  </w:r>
                  <w:proofErr w:type="spellEnd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крыши с верхним и боковыми обтекателями, ширина 2,55 м. Одна сторона боковых обтекателей имеет шарнирное крепление, вторая -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фиксированная.</w:t>
                  </w:r>
                </w:p>
              </w:tc>
            </w:tr>
          </w:tbl>
          <w:p w:rsidR="006F2ACE" w:rsidRPr="008C5446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951"/>
            </w:tblGrid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кабины: H3279WHTE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Кожухи зеркал черные.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Цветной </w:t>
                  </w:r>
                  <w:proofErr w:type="spellStart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спойлер</w:t>
                  </w:r>
                  <w:proofErr w:type="spellEnd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на крыше: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Боковые манжеты: Бриллиантовый белый.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шасси серый.</w:t>
                  </w:r>
                </w:p>
              </w:tc>
            </w:tr>
          </w:tbl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Внутреннее пространство кабины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Левостороннее рулевое управление.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Рулевое колесо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черное, мягкая отделка черного цвета.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Отделка черного цвета для активных зон приборной панели.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Сиденье водителя с пневматической подвеской -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Comfort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Ремни безопасности, черные.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Стеклянный люк крыши с электроприводом.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proofErr w:type="gram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Место для хранения под нижним спальным местом: слева - герметичный отсек емкостью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150 л с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наружным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замком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открытый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отсек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емкостью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60 л;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справа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открытый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отсек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емкостью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150 л с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наружным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замком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открытый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отсек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емкостью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85 л;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центральная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часть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открыты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отсек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емкостью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25 л с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держателем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для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бутылок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передней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части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открытый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отсек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емкостью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65 л с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регулируемой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перегородкой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рядом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холодильником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Под матрасом расположены </w:t>
                  </w:r>
                  <w:proofErr w:type="spell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проставки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дополнительной вентиляции во избежание скопления влажности от холодильн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ика.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Нижнее спальное место со стандартным поролоновым матрасом.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Спальный отсек с верхним спальным местом, со ступенькой.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Защитная сетка на нижнем и верхнем спальных местах.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Холодильный ящик 42 л с удобной ручкой под алюминий под нижним спальным местом.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Воздушный дополнительный обогреватель кабины.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Система кондиционирования воздуха с ручным управлением и рециркуляцией воздуха.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Электростеклоподъемники.</w:t>
                  </w:r>
                </w:p>
              </w:tc>
            </w:tr>
          </w:tbl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Управление связью и движением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Универсальный разъем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FMS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(Система управления автотранспортными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перевозками) с проводкой, для обработки информации согласно стандарту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FMS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производителя грузовика.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Цифровой тахограф, VDO.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Настройка ограничителя скорости  85 км/ч абсолютная. Эта настройка не позволяет превышать скорость в 8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5 км/ч.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Базовый радиоприемник/проигрыватель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USB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 Акустическая система с 2 громкоговорителями.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 аварийного вызова.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Стандартные антенны: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AM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FM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Вторая антенна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для телефона.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Дополнительная антенна: CB.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Круиз-контроль. Включает функци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ю умеренного </w:t>
                  </w:r>
                  <w:proofErr w:type="gram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круиз-контроля</w:t>
                  </w:r>
                  <w:proofErr w:type="gram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возобновления заданной скорости движения оптимальным для расхода топлива способом.</w:t>
                  </w:r>
                </w:p>
              </w:tc>
            </w:tr>
          </w:tbl>
          <w:p w:rsidR="006F2ACE" w:rsidRPr="008C5446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Надежность и безопасность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Главный выключатель с ручным управлением.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Система курсовой устойчивости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VSC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для повышения безопасности во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время движения. Улучшенная курсовая устойчивость (недостаточная или избыточная </w:t>
                  </w:r>
                  <w:proofErr w:type="spell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поворачиваемость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, складывание автопоезда) и дополнительная защита от опрокидывания.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Звуковое предупреждение о заднем ходе с блокирующим переключателем.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proofErr w:type="gram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Базовый</w:t>
                  </w:r>
                  <w:proofErr w:type="gram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иммобилайзер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дв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игателя с блокировкой впрыска топлива и размыканием контура стартера.</w:t>
                  </w:r>
                </w:p>
              </w:tc>
            </w:tr>
          </w:tbl>
          <w:p w:rsidR="006F2ACE" w:rsidRPr="008C5446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Подвеска и оси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ось типа 152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вертикальное смещение 100 мм. Параболическая рессорная подвеска с амортизаторами и стабилизатором.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 нагрузка 7,5 т.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Ведущая задняя ось с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одним редуктором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1347 с регулируемой пневматической подвеской с электронным управлением и 4 </w:t>
                  </w:r>
                  <w:proofErr w:type="spell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пневмобаллонами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включая амортизаторы и стабилизатор.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13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,0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т. Механическая блокировка дифференциала.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Одно положение высоты шасси во время дви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жения, стандартная высота.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мониторинга нагрузки на ось.</w:t>
                  </w:r>
                </w:p>
              </w:tc>
            </w:tr>
          </w:tbl>
          <w:p w:rsidR="006F2ACE" w:rsidRPr="008C5446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Колеса и шины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Первая передняя ось: размер шин 315/70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Поставщик Continental.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Стальные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колесные диски, серебристый.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Защитные ободья колеса с открытой центральной частью, цвет серебристый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RAL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9006).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передняя ось: размер шин 315/70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Continental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CES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для установки на управляемую о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сь для перевозок на дальние расстояния.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Маркировка шин: сопротивление качению B - сцепление с мокрым дорожным покрытием B - шум 69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дБ(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A).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Continental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lastRenderedPageBreak/>
                    <w:t>CED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индекс нагрузки 154/150,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для уста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новки на ведущую ось для перевозок на дальние расстояния.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Маркировка шин: сопротивление качению B - сцепление с мокрым дорожным покрытием B - шум 72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дБ(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A).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lastRenderedPageBreak/>
                    <w:t>Шина запасного колеса неприменима.</w:t>
                  </w:r>
                </w:p>
              </w:tc>
            </w:tr>
          </w:tbl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Трансмиссия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MX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: 12,9 л, 6-цилиндровый дизельный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двигатель. Производительность двигателя согласно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ECE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24-03: мощность 300 кВт (408 </w:t>
                  </w:r>
                  <w:proofErr w:type="spell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л.с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.) при 1500-1900 об/мин.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Крутящий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момент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2000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при 1000-1410 об/мин. Макс. температура окружающей среды 38 градусов Цельсия.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Соответствует Euro 5.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МКП, 16-ступенчатая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КПП с прямой высшей передачей.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Передаточное число КПП 16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-1,00.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Передаточное число задней оси 2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Ведущая задняя ось с механической блокировкой дифференциала.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 ASR (система противоскольжения).</w:t>
                  </w:r>
                </w:p>
              </w:tc>
            </w:tr>
          </w:tbl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Тормозная система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Контроль работы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тормозной системы для рабочей тормозной системы.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гидравлическим управлением, встроенный в механизм коромысла клапана.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работает одновременно с тормозом-замедлителем, что обеспечивает высокую суммарну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ю тормозную мощность при низкой частоте вращения двигателя.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Рычаг стояночного тормоза с положением проверки.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Цилиндр пружинного тормоза на задней оси.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Антиблокировочная тормозная система (АБС).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Электронная тормозная система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Встроенная АБС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(антиблокировочная система),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SMR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(Регулятор торможения двигателем), система экстренного торможения и контроль работы тормозной системы. Полная интеграция рабочего тормоза и (если </w:t>
                  </w:r>
                  <w:proofErr w:type="gram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установлен</w:t>
                  </w:r>
                  <w:proofErr w:type="gram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тормоза двигателя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MX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и/или </w:t>
                  </w:r>
                  <w:proofErr w:type="spell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интардера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Вентилируемые тормозные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диски спереди и сзади. Двухконтурная пневматическая система с электронным управлением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Двухцилиндровый воздушный компрессор с нагреваемым осушителем и экономичным режимом.</w:t>
                  </w:r>
                </w:p>
              </w:tc>
            </w:tr>
          </w:tbl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Шасси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Колесная база 3,80 м / задний свес 0,99 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Высота лонжерона 260 мм, 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толщина 7,0 мм.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Передняя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сторона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внутреннего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усиления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Стандартное расположение компонентов шасси.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Глушитель и аккумуляторные батареи с правой стороны шасси.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Выхлопная труба с левой стороны.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Емкости для сжатого воздуха стальные.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proofErr w:type="spellStart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Алюм</w:t>
                  </w:r>
                  <w:proofErr w:type="spellEnd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топливные баки 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850+430 л, высота 620 мм.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Боковой мостик со ступенькой, стандартная версия из двух элементов.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Длина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закрытой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секции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между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лонжеронами шасси прибл. 80 см.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Задние пластмассовые брызговики из трех частей.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Рабочий фонарь с белым стеклом позади кабины.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та от брызг на брызговиках, согласно директиве 91/226/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Передняя </w:t>
                  </w:r>
                  <w:proofErr w:type="spell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противоподкатная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защита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FUP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), согласно директиве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ЕС 2000/40/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Рама шасси для стандартного применения.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Бак AdBlue  75 л.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Две тормозные колодки согласно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DIN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76051, установлены на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заднем свесе.</w:t>
                  </w:r>
                </w:p>
              </w:tc>
            </w:tr>
          </w:tbl>
          <w:p w:rsidR="006F2ACE" w:rsidRPr="008C5446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Тягово-сцепное оборудование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Седельно-сцепное устройство типа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Jost</w:t>
                  </w:r>
                  <w:proofErr w:type="spell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JSK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чугун, высота 150 мм с опорной плитой 40 мм. Диаметр поворотного шкворня 2 дюйма,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152 кН, максимальная вертикальная нагрузка 20 тонн.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Диаметр поворотного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шкворня 2 дюйма, максимальное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170 кН, максимальная вертикальная нагрузка 28 тонн.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Размер КА седельно-сцепного устройства 670 мм.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Пневматическое соединение прицепа со звездообразными муфтами.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Электрическое соединение прицепа 24 В с двумя 7-ко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нтактными разъемами и разъемом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Кабель освещения / дополнительного оборудования с двумя 7-контактными разъемами на каждой стороне, кабель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7-контактными разъемами.</w:t>
                  </w:r>
                </w:p>
              </w:tc>
            </w:tr>
          </w:tbl>
          <w:p w:rsidR="006F2ACE" w:rsidRPr="008C5446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Pr="008C5446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C5446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Кузова и подготовка для установки кузова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Дополнительный разъем для функций 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кузова на перегородке в передней части кабины (01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Электрические сигналы для </w:t>
                  </w:r>
                  <w:proofErr w:type="gramStart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-М</w:t>
                  </w:r>
                  <w:proofErr w:type="gramEnd"/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еханизм откидывания кабины заблокирован- и -Работа двигателя-.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Электропитание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24 В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и после зажигания. Запасная проводка к приборной панели.</w:t>
                  </w:r>
                </w:p>
              </w:tc>
            </w:tr>
          </w:tbl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Механизм отбора мощности 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(МОМ)</w:t>
            </w:r>
          </w:p>
        </w:tc>
        <w:tc>
          <w:tcPr>
            <w:tcW w:w="6997" w:type="dxa"/>
          </w:tcPr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Источник электропитания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842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Генератор 110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аккумуляторы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230 А/ч.</w:t>
                  </w:r>
                </w:p>
              </w:tc>
            </w:tr>
          </w:tbl>
          <w:p w:rsidR="006F2ACE" w:rsidRPr="008C5446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Pr="008C5446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C5446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584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GVM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макс. 19500 кг по массе шасси.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GCM</w:t>
                  </w: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44000 кг класс 2.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Табличка типа Россия.</w:t>
                  </w:r>
                </w:p>
              </w:tc>
            </w:tr>
          </w:tbl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Условия применения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Холодные климатические условия, с температурами ниже минус 18 градусов Цельсия.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proofErr w:type="spellStart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Влагоотделитель</w:t>
                  </w:r>
                  <w:proofErr w:type="spellEnd"/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 фильтрующим элементом 30 микрон и подогреваемой чашей фильтра. Панель состояния с предупреждением о сливе влаги на приборной панели.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Высо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кий воздухозаборник.</w:t>
                  </w:r>
                </w:p>
              </w:tc>
            </w:tr>
          </w:tbl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Эксплуатация и техническое обслуживание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Стандартная гарантия на весь автомобиль на 1 год, на силовой агрегат на 2-й год и на устранение поломки на 1 год.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Обслуживание ITS.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Интервал технического обслуживания стандартный.</w:t>
                  </w:r>
                </w:p>
              </w:tc>
            </w:tr>
          </w:tbl>
          <w:p w:rsidR="006F2ACE" w:rsidRPr="00EC5878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7A1C62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7A1C62" w:rsidRDefault="0071222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Доставка автомобиля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7A1C62" w:rsidTr="00A229C7">
              <w:tc>
                <w:tcPr>
                  <w:tcW w:w="0" w:type="auto"/>
                </w:tcPr>
                <w:p w:rsidR="006F2ACE" w:rsidRPr="00EC5878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Стандартный набор инструментов.</w:t>
                  </w:r>
                </w:p>
              </w:tc>
            </w:tr>
            <w:tr w:rsidR="007A1C62" w:rsidTr="00A229C7">
              <w:tc>
                <w:tcPr>
                  <w:tcW w:w="0" w:type="auto"/>
                </w:tcPr>
                <w:p w:rsidR="006F2ACE" w:rsidRPr="008C5446" w:rsidRDefault="00712222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8C544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Проверка перед поставкой, включающая в себя техническую проверку автомобиля.</w:t>
                  </w:r>
                </w:p>
              </w:tc>
            </w:tr>
          </w:tbl>
          <w:p w:rsidR="006F2ACE" w:rsidRPr="008C5446" w:rsidRDefault="00712222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</w:tbl>
    <w:p w:rsidR="006F2ACE" w:rsidRPr="008C5446" w:rsidRDefault="00712222" w:rsidP="008C5446">
      <w:pPr>
        <w:rPr>
          <w:rFonts w:ascii="Arial" w:hAnsi="Arial" w:cs="Arial"/>
          <w:lang w:val="ru-RU"/>
        </w:rPr>
      </w:pPr>
      <w:bookmarkStart w:id="1" w:name="_GoBack"/>
      <w:bookmarkEnd w:id="1"/>
    </w:p>
    <w:sectPr w:rsidR="006F2ACE" w:rsidRPr="008C5446" w:rsidSect="00AB1818">
      <w:headerReference w:type="default" r:id="rId13"/>
      <w:footerReference w:type="default" r:id="rId14"/>
      <w:pgSz w:w="11906" w:h="16838"/>
      <w:pgMar w:top="1701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22" w:rsidRDefault="00712222">
      <w:pPr>
        <w:spacing w:after="0" w:line="240" w:lineRule="auto"/>
      </w:pPr>
      <w:r>
        <w:separator/>
      </w:r>
    </w:p>
  </w:endnote>
  <w:endnote w:type="continuationSeparator" w:id="0">
    <w:p w:rsidR="00712222" w:rsidRDefault="0071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9F" w:rsidRPr="00F7450E" w:rsidRDefault="00712222" w:rsidP="00764FEE">
    <w:pPr>
      <w:pStyle w:val="a5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595959" w:themeColor="text1" w:themeTint="A6"/>
      </w:rPr>
    </w:pP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3360" behindDoc="1" locked="0" layoutInCell="1" allowOverlap="1" wp14:anchorId="2ED3DB1D" wp14:editId="1089C3A0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2336" behindDoc="0" locked="0" layoutInCell="1" allowOverlap="1" wp14:anchorId="10228DAC" wp14:editId="18A1A9F9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begin"/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instrText>PAGE</w:instrTex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separate"/>
    </w:r>
    <w:r w:rsidR="008C5446"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  <w:t>4</w: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end"/>
    </w:r>
    <w:r w:rsidRPr="00F7450E">
      <w:rPr>
        <w:rFonts w:ascii="Arial" w:hAnsi="Arial" w:cs="Arial"/>
        <w:color w:val="595959" w:themeColor="text1" w:themeTint="A6"/>
        <w:sz w:val="18"/>
        <w:szCs w:val="18"/>
      </w:rPr>
      <w:t xml:space="preserve"> - </w: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begin"/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instrText>NUMPAGES</w:instrTex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separate"/>
    </w:r>
    <w:r w:rsidR="008C5446"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  <w:t>4</w: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end"/>
    </w:r>
    <w:r w:rsidRPr="00F7450E">
      <w:rPr>
        <w:rFonts w:ascii="Arial" w:hAnsi="Arial" w:cs="Arial"/>
        <w:color w:val="595959" w:themeColor="text1" w:themeTint="A6"/>
        <w:sz w:val="18"/>
        <w:szCs w:val="18"/>
      </w:rPr>
      <w:t xml:space="preserve">   |</w:t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-2972435</wp:posOffset>
          </wp:positionH>
          <wp:positionV relativeFrom="paragraph">
            <wp:posOffset>-364945</wp:posOffset>
          </wp:positionV>
          <wp:extent cx="9918700" cy="561975"/>
          <wp:effectExtent l="0" t="0" r="635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swoosh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-300355</wp:posOffset>
          </wp:positionV>
          <wp:extent cx="1523365" cy="675640"/>
          <wp:effectExtent l="0" t="0" r="63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95959" w:themeColor="text1" w:themeTint="A6"/>
        <w:sz w:val="18"/>
        <w:szCs w:val="18"/>
      </w:rPr>
      <w:t xml:space="preserve">   </w:t>
    </w:r>
    <w:sdt>
      <w:sdtPr>
        <w:rPr>
          <w:color w:val="595959" w:themeColor="text1" w:themeTint="A6"/>
        </w:rPr>
        <w:id w:val="-249277568"/>
        <w:docPartObj>
          <w:docPartGallery w:val="Page Numbers (Top of Page)"/>
          <w:docPartUnique/>
        </w:docPartObj>
      </w:sdtPr>
      <w:sdtEndPr/>
      <w:sdtContent>
        <w:r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TIME  \@ "yyyy-MM-dd" </w:instrText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8C5446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2017-01-10</w:t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t>D0108482</w:t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22" w:rsidRDefault="00712222">
      <w:pPr>
        <w:spacing w:after="0" w:line="240" w:lineRule="auto"/>
      </w:pPr>
      <w:r>
        <w:separator/>
      </w:r>
    </w:p>
  </w:footnote>
  <w:footnote w:type="continuationSeparator" w:id="0">
    <w:p w:rsidR="00712222" w:rsidRDefault="0071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43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33"/>
    </w:tblGrid>
    <w:tr w:rsidR="007A1C62" w:rsidTr="00B63AAC">
      <w:tc>
        <w:tcPr>
          <w:tcW w:w="7905" w:type="dxa"/>
        </w:tcPr>
        <w:p w:rsidR="00AB1818" w:rsidRPr="00FE20CB" w:rsidRDefault="00712222" w:rsidP="00BD0864">
          <w:pPr>
            <w:ind w:left="680"/>
            <w:rPr>
              <w:rFonts w:ascii="Arial" w:hAnsi="Arial" w:cs="Arial"/>
              <w:b/>
              <w:sz w:val="28"/>
              <w:szCs w:val="28"/>
            </w:rPr>
          </w:pPr>
          <w:r w:rsidRPr="00256D78">
            <w:rPr>
              <w:rFonts w:ascii="Arial" w:hAnsi="Arial" w:cs="Arial"/>
              <w:b/>
              <w:noProof/>
              <w:color w:val="595959" w:themeColor="text1" w:themeTint="A6"/>
              <w:sz w:val="44"/>
              <w:szCs w:val="44"/>
              <w:lang w:val="ru-RU"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-156210</wp:posOffset>
                </wp:positionV>
                <wp:extent cx="11263630" cy="638175"/>
                <wp:effectExtent l="0" t="0" r="0" b="9525"/>
                <wp:wrapNone/>
                <wp:docPr id="29" name="Afbeelding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 swoosh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363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PRIVOLZHE-TRANSSERVICE</w:t>
          </w:r>
          <w:r w:rsidRPr="00FE20CB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 </w:t>
          </w:r>
        </w:p>
      </w:tc>
    </w:tr>
  </w:tbl>
  <w:p w:rsidR="00C138D8" w:rsidRDefault="00712222" w:rsidP="007A635C">
    <w:pPr>
      <w:pStyle w:val="a3"/>
      <w:ind w:left="-141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738"/>
    <w:multiLevelType w:val="hybridMultilevel"/>
    <w:tmpl w:val="777E92BE"/>
    <w:lvl w:ilvl="0" w:tplc="73FAC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98E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9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2B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A3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EA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0E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AE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A0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743"/>
    <w:multiLevelType w:val="hybridMultilevel"/>
    <w:tmpl w:val="9074335E"/>
    <w:lvl w:ilvl="0" w:tplc="D332DC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5479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7E3B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928B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0A2A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2DC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B275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AE86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78B6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33699"/>
    <w:multiLevelType w:val="hybridMultilevel"/>
    <w:tmpl w:val="F8A80DB8"/>
    <w:lvl w:ilvl="0" w:tplc="496AD6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F741F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CE0D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48AB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EC23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4058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12CF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9233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1A1A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14ED1"/>
    <w:multiLevelType w:val="hybridMultilevel"/>
    <w:tmpl w:val="C96E3832"/>
    <w:lvl w:ilvl="0" w:tplc="E50E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49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66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0E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02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8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23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C0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822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87F"/>
    <w:multiLevelType w:val="hybridMultilevel"/>
    <w:tmpl w:val="3722802E"/>
    <w:lvl w:ilvl="0" w:tplc="BDB8E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C204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6854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6C27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5CA6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CAE9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7610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D41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06A0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63FD1"/>
    <w:multiLevelType w:val="hybridMultilevel"/>
    <w:tmpl w:val="116EF66C"/>
    <w:lvl w:ilvl="0" w:tplc="A9DE32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7F660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23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60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47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84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0B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C7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62"/>
    <w:rsid w:val="00712222"/>
    <w:rsid w:val="007A1C62"/>
    <w:rsid w:val="008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6C4775"/>
    <w:pPr>
      <w:spacing w:after="0" w:line="240" w:lineRule="auto"/>
    </w:pPr>
    <w:rPr>
      <w:rFonts w:eastAsiaTheme="minorEastAsia"/>
      <w:lang w:eastAsia="nl-NL"/>
    </w:rPr>
  </w:style>
  <w:style w:type="character" w:customStyle="1" w:styleId="af4">
    <w:name w:val="Без интервала Знак"/>
    <w:basedOn w:val="a0"/>
    <w:link w:val="af3"/>
    <w:uiPriority w:val="1"/>
    <w:rsid w:val="006C4775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6C4775"/>
    <w:pPr>
      <w:spacing w:after="0" w:line="240" w:lineRule="auto"/>
    </w:pPr>
    <w:rPr>
      <w:rFonts w:eastAsiaTheme="minorEastAsia"/>
      <w:lang w:eastAsia="nl-NL"/>
    </w:rPr>
  </w:style>
  <w:style w:type="character" w:customStyle="1" w:styleId="af4">
    <w:name w:val="Без интервала Знак"/>
    <w:basedOn w:val="a0"/>
    <w:link w:val="af3"/>
    <w:uiPriority w:val="1"/>
    <w:rsid w:val="006C4775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2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CD65F8-6BB2-4B8F-8501-94CA220A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Detailed Specification</vt:lpstr>
      <vt:lpstr>Detailed Specification</vt:lpstr>
    </vt:vector>
  </TitlesOfParts>
  <Company>DAF Trucks N.V.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Specification</dc:title>
  <dc:creator>DAF Trucks N.V.</dc:creator>
  <cp:lastModifiedBy>DAF-NN-7</cp:lastModifiedBy>
  <cp:revision>2</cp:revision>
  <cp:lastPrinted>2017-01-10T06:39:00Z</cp:lastPrinted>
  <dcterms:created xsi:type="dcterms:W3CDTF">2017-01-10T06:40:00Z</dcterms:created>
  <dcterms:modified xsi:type="dcterms:W3CDTF">2017-01-10T06:40:00Z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